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5D59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崇左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  <w:t>市人民医院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心电监护仪等设备主要需求参数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一、心电监护仪等设备采购项目需求</w:t>
      </w:r>
    </w:p>
    <w:tbl>
      <w:tblPr>
        <w:tblStyle w:val="3"/>
        <w:tblW w:w="8320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619"/>
        <w:gridCol w:w="865"/>
        <w:gridCol w:w="739"/>
        <w:gridCol w:w="1788"/>
        <w:gridCol w:w="1639"/>
      </w:tblGrid>
      <w:tr w14:paraId="5A32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0C0D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项目序号</w:t>
            </w:r>
          </w:p>
        </w:tc>
        <w:tc>
          <w:tcPr>
            <w:tcW w:w="261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B502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DBF0A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9668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B027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概算单价（万元）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CC0C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概算总价（万元）</w:t>
            </w:r>
          </w:p>
        </w:tc>
      </w:tr>
      <w:tr w14:paraId="28742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678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D95C8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心电监护仪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18C57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274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7FD66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2.76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50A43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38.64</w:t>
            </w:r>
          </w:p>
        </w:tc>
      </w:tr>
      <w:tr w14:paraId="6F1E4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6998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E243C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背心式排痰机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20738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E4060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A52C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6.24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AF3DA3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6.24</w:t>
            </w:r>
          </w:p>
        </w:tc>
      </w:tr>
      <w:tr w14:paraId="61690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52FB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D6B378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半导体物理降温仪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3A97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B3475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4C281E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A95B9A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2.98</w:t>
            </w:r>
          </w:p>
        </w:tc>
      </w:tr>
      <w:tr w14:paraId="0AA58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3BD3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33A65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流式细胞仪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2FD2E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4784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021A66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4.98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D1880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4.98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心电监护仪等设备主要技术参数需求</w:t>
      </w:r>
    </w:p>
    <w:tbl>
      <w:tblPr>
        <w:tblStyle w:val="3"/>
        <w:tblW w:w="8331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315"/>
        <w:gridCol w:w="646"/>
        <w:gridCol w:w="704"/>
        <w:gridCol w:w="4996"/>
      </w:tblGrid>
      <w:tr w14:paraId="0197CD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AB56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项目序号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A79E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设备名称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36CC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7AA0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9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037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主要技术参数需求</w:t>
            </w:r>
          </w:p>
        </w:tc>
      </w:tr>
      <w:tr w14:paraId="3A887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3EC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C62F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心电监护仪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5F74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D84EE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 xml:space="preserve">14 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B4197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：整机要求：</w:t>
            </w:r>
          </w:p>
          <w:p w14:paraId="129896BB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一体化便携监护仪，整机无风扇设计。</w:t>
            </w:r>
          </w:p>
          <w:p w14:paraId="448F09E0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英寸彩色液晶触摸屏，分辨率高达1280*800像素或更高，≥8通道波形显示。显示屏可支持亮度自动调节功能。</w:t>
            </w:r>
          </w:p>
          <w:p w14:paraId="6D83A8C1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★屏幕倾斜10~15度设计，符合人机工程学，便于临床团队观察和操作。</w:t>
            </w:r>
          </w:p>
          <w:p w14:paraId="3CA19595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★安全规格：ECG, TEMP, IBP, SpO2 , NIBP监测参数抗电击程度为防除颤CF型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257175" cy="152400"/>
                  <wp:effectExtent l="0" t="0" r="9525" b="0"/>
                  <wp:docPr id="102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1BB01189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监护仪设计使用年限≥8年。</w:t>
            </w:r>
          </w:p>
          <w:p w14:paraId="547819CD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监护仪清洁维护支持的清洁剂≥40种，在厂家手册中清晰列举清洁剂的种类。</w:t>
            </w:r>
          </w:p>
          <w:p w14:paraId="105FED50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整机抗跌落设计通过0.75米6面跌落测试。</w:t>
            </w:r>
          </w:p>
          <w:p w14:paraId="1B5A982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：监测参数：</w:t>
            </w:r>
          </w:p>
          <w:p w14:paraId="09CDCA96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配置3/5导心电，呼吸，无创血压，血氧饱和度，脉搏</w:t>
            </w:r>
          </w:p>
          <w:p w14:paraId="7E53DD70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★心电监护支持心率，ST段测量，心律失常分析，QT/QTc连续实时测量和对应报警功能。</w:t>
            </w:r>
          </w:p>
          <w:p w14:paraId="0C8A447C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提供窗口支持心脏下壁，侧壁和前壁对应多个ST片段的同屏实时显示，提供参考片段和实时片段的对比查看。</w:t>
            </w:r>
          </w:p>
          <w:p w14:paraId="2391FE4E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支持≥20种心律失常分析,包括房颤分析。</w:t>
            </w:r>
          </w:p>
          <w:p w14:paraId="071A313A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QT和QTc实时监测参数测量范围：200～800 ms。</w:t>
            </w:r>
          </w:p>
          <w:p w14:paraId="74AF250B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支持升级提供过去24小时心电概览报告查看与打印，包括心率统计结果，心律失常统计结果，ST统计和QT/QTc统计结果。</w:t>
            </w:r>
          </w:p>
          <w:p w14:paraId="56EABB18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提供SpO2,PR和PI参数的实时监测，适用于成人，小儿和新生儿。</w:t>
            </w:r>
          </w:p>
          <w:p w14:paraId="1DF0A99C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支持指套式血氧探头，IPX7防水等级，支持液体浸泡消毒和清洁。</w:t>
            </w:r>
          </w:p>
          <w:p w14:paraId="5F6FF3AA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配置无创血压测量，适用于成人，小儿和新生儿。</w:t>
            </w:r>
          </w:p>
          <w:p w14:paraId="37F19CE8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★提供手动，自动，连续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和序列4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种测量模式，并提供24小时血压统计结果，满足临床应用。</w:t>
            </w:r>
          </w:p>
          <w:p w14:paraId="3453C62F"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提供辅助静脉穿刺功能。</w:t>
            </w:r>
          </w:p>
          <w:p w14:paraId="65EBFDE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：系统功能：</w:t>
            </w:r>
          </w:p>
          <w:p w14:paraId="6242D87D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★支持所有监测参数报警限一键自动设置功能，满足医护团队快速管理患者报警需求，产品用户手册提供报警限自动设置规则。</w:t>
            </w:r>
          </w:p>
          <w:p w14:paraId="6719F926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支持肾功能计算功能。</w:t>
            </w:r>
          </w:p>
          <w:p w14:paraId="5E578052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具有图形化技术报警指示功能，帮助医护团队快速识别报警来源。</w:t>
            </w:r>
          </w:p>
          <w:p w14:paraId="179486EB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支持≥120小时趋势图和趋势表回顾，支持选择不同趋势组回顾</w:t>
            </w:r>
          </w:p>
          <w:p w14:paraId="2AABAE64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≥1000条事件回顾。每条报警事件至少能够存储32秒三道相关波形，以及报警触发时所有测量参数值</w:t>
            </w:r>
          </w:p>
          <w:p w14:paraId="0EB7338E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支持监护仪进入夜间模式，隐私模式，演示模式和待机模式。</w:t>
            </w:r>
          </w:p>
          <w:p w14:paraId="4E06557F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可升级配置临床评分系统，如MEWS（改良早期预警评分）、NEWS（英国早期预警评分），可支持定时自动EWS评分功能。</w:t>
            </w:r>
          </w:p>
          <w:p w14:paraId="144F7462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提供计时器功能，界面区提供设置≥4个计时器，每个计时器支持独立设置和计时功能，计时方向包括正计时和倒计时两种选择。</w:t>
            </w:r>
          </w:p>
          <w:p w14:paraId="28A313F0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支持升级格拉斯哥昏迷评分（GCS）功能。</w:t>
            </w:r>
          </w:p>
          <w:p w14:paraId="36D02280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可通过无线连接的方式连接到现有的中心监护系统。</w:t>
            </w:r>
          </w:p>
          <w:p w14:paraId="092CE71B">
            <w:pP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5E0F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7DA2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1C35E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背心式排痰机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6AC1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F4475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FD3FA21">
            <w:pPr>
              <w:ind w:left="418" w:leftChars="0" w:hanging="418" w:hangingChars="20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一 适用范围： </w:t>
            </w:r>
          </w:p>
          <w:p w14:paraId="1B4A1FD7">
            <w:pPr>
              <w:numPr>
                <w:ilvl w:val="1"/>
                <w:numId w:val="5"/>
              </w:numPr>
              <w:ind w:left="418" w:leftChars="0" w:hanging="418" w:hangingChars="209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适用于多种原因引起的呼吸道分泌物增多、排出不畅的患者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265929C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 技术要求：</w:t>
            </w:r>
          </w:p>
          <w:p w14:paraId="3840E1F8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2.1 ★结构形式：背心排痰不可分拆的柜机推车式，雾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化器的压缩机机身部分完全嵌入柜体内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51AE9025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2.2 进口品牌风机低噪音，充气压力稳定正常工作≤65dB(A)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2342BB48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2.3 ★带雾化功能，促进排痰；双导气软管使受力均匀，提高患者舒适度；</w:t>
            </w:r>
          </w:p>
          <w:p w14:paraId="4A300E0A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2.4 工作频率：2-26Hz，调节步进1 Hz 具有低频低压保护功能。</w:t>
            </w:r>
          </w:p>
          <w:p w14:paraId="4BA562B2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2.5 定时范围：1-100分钟，调节步进为1分钟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367D6E15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2.6 振动强度：1-11档可调，调节步进为1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45D22B6C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2.7 压力范围：0.5-3.9KPa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534067EF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2.8压力与频率自动调节功能，低频低压保护功能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647E1F73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2.9 压缩式雾化：雾化率：≥0.2ml/min</w:t>
            </w:r>
          </w:p>
          <w:p w14:paraId="4C51F770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咳嗽暂停功能：咳嗽暂停时间：1秒~120秒可调，保障患者在治疗过程中的舒适性。</w:t>
            </w:r>
          </w:p>
          <w:p w14:paraId="027D5982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1紧急停止功能：提供在各种状态下释放加压装置气压的措施。 只需一个动作就能完成，保障患者在治疗过程中的安全性。</w:t>
            </w:r>
          </w:p>
          <w:p w14:paraId="44DEC9A0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★具有储存和查询患者历史治疗信息的功能：可查询总的治疗次数，和之前的治疗信息。并且可追溯打印（如带打印功能）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140FFC4E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三、资质要求</w:t>
            </w:r>
          </w:p>
          <w:p w14:paraId="22C3848E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3.1 产品通过TVU13485医疗器械质量管理体系认证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</w:p>
          <w:p w14:paraId="2C15AEE9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 产品具有自主知识产权：产品专利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、软件著作权证书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374BF2C5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配置：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.1 主机数量：1台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.2 导气软管2根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.3 气囊背心3件（大中小号各一件）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.4 气囊胸带3件（大中小号各一件）</w:t>
            </w:r>
          </w:p>
          <w:p w14:paraId="6D09CB32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2EBE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7596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D927A5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半导体物理降温仪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3B959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B0750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B67527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1.温度设定范围:28℃~32℃，步进 0.5℃。 </w:t>
            </w:r>
          </w:p>
          <w:p w14:paraId="1B0236BA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2.允差:±1.5℃。 </w:t>
            </w:r>
          </w:p>
          <w:p w14:paraId="66BA5D4F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3.体温可以设定目标温度、启动温度。启动温度设定范围:37.5℃~40℃,目标温度设定范围:36℃~37.5℃，步进都为0.5℃，且启动温度不低于目标温度 0.5℃。 </w:t>
            </w:r>
          </w:p>
          <w:p w14:paraId="02BAF337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4、监测范围:10℃~50℃。体温监测探头暴露在温度为(55±2)℃的环境中最少288h，或者暴露在温度为(80±2)℃的环境中最少96h后,探头暴露前后的最大误差值应满足2.3.3的要求。 </w:t>
            </w:r>
          </w:p>
          <w:p w14:paraId="159D3119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5.体液防护没有护套的温度探头的绝缘性应足够强，使之在浸泡于电导液中时足以防止指示温度的变化超过±0.02C。 </w:t>
            </w:r>
          </w:p>
          <w:p w14:paraId="6C3DDA0E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6.制冷平均空载速率:0.25℃/min，误差±50%。 </w:t>
            </w:r>
          </w:p>
          <w:p w14:paraId="63D452FA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7.制冷负载最大平均速率:1℃/h，误差±50%。 </w:t>
            </w:r>
          </w:p>
          <w:p w14:paraId="001FC3DE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8.当水箱内水温低至24±1℃时，低温保护电路起作用，降温电路停止工作。 </w:t>
            </w:r>
          </w:p>
          <w:p w14:paraId="553FB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9.当水箱内水温高至36±1℃时，高温保护电路起作用，升温电路停止工作。</w:t>
            </w:r>
          </w:p>
          <w:p w14:paraId="060FDDC3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10.当体温探头未连接时，屏幕应显示“体温异常”，并伴有“滴滴”音提示功能。 </w:t>
            </w:r>
          </w:p>
          <w:p w14:paraId="5826A8C5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11.当体温探头监测到温度≥39.5℃时，屏幕应显示“体温异常”，并伴有“滴滴”音提示功能。 </w:t>
            </w:r>
          </w:p>
          <w:p w14:paraId="6E2BD6E7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12.在降温模式状态下，当体温探头监测到温度&lt;34℃时，屏幕应显示“体温异常”。 </w:t>
            </w:r>
          </w:p>
          <w:p w14:paraId="668DAB7E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13.当水箱水位低于300mL 时，屏幕应显示“水位异常”，并伴有“滴滴”音提示功能，同时停止工作。</w:t>
            </w:r>
          </w:p>
          <w:p w14:paraId="15F46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14.当水温低于15℃或高于42C时，屏幕应显示“水温异常”，并伴有“滴滴”音提示功能，水温超过42℃时，设备应用电路应停止工作。</w:t>
            </w:r>
          </w:p>
          <w:p w14:paraId="3D2A9D06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15.噪声应小于55dB(A计权)。 </w:t>
            </w:r>
          </w:p>
          <w:p w14:paraId="6AB43D94"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16.降温仪正常工作时，降温衣承重应≥135kg。降温敷袋尺寸款降温敷袋上宽:351.6mm±10mm下宽:406.6mm±10mm高:480.9mm±10mm</w:t>
            </w:r>
          </w:p>
          <w:p w14:paraId="7A3B062C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DC17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2643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8E969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流式细胞仪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37944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0F01B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AAE3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激光器配置： 488nm 激光器功率≥40mW，638nm 激光器功率≥80mW； </w:t>
            </w:r>
          </w:p>
          <w:p w14:paraId="58B7A6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2.散射光： FSC；SSC； </w:t>
            </w:r>
          </w:p>
          <w:p w14:paraId="609263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3.荧光通道： FITC；PE；PerCP；PE-Cy7；APC；APC-Cy7； </w:t>
            </w:r>
          </w:p>
          <w:p w14:paraId="67F841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4.荧光检出限： FITC≤200MESF PE≤100MESF APC≤20MESF； </w:t>
            </w:r>
          </w:p>
          <w:p w14:paraId="429D1A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5.FSC 检出限： FSC≤1.0um； </w:t>
            </w:r>
          </w:p>
          <w:p w14:paraId="222587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仪器分辨率： FSC CV%≤2%，FITC CV%≤2%，PE CV%≤2%，其他荧光素 CV%≤3%； </w:t>
            </w:r>
          </w:p>
          <w:p w14:paraId="06E8FF7C"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7.电子探测器：APD 光电探测器；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172AF9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8.激发模式： 空间立体激发模式，固定光路无需调节，光学系统整体温控； </w:t>
            </w:r>
          </w:p>
          <w:p w14:paraId="150125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9.光路设计： 直线光路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设计，光学滤色片可以随实验需求进行更换；</w:t>
            </w:r>
          </w:p>
          <w:p w14:paraId="5E79A2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10.独立检测器： 所有荧光检测通道分别对应独立检测器； </w:t>
            </w:r>
          </w:p>
          <w:p w14:paraId="30D8CB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11.荧光线性： 流式荧光强度线性系数不低于 0.98； </w:t>
            </w:r>
          </w:p>
          <w:p w14:paraId="3D717D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12.携带污染率： 携带污染率≤0.1%； </w:t>
            </w:r>
          </w:p>
          <w:p w14:paraId="25490C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13.仪器稳定性： 环境温度变化不超过设定温度的 5%时，在8h内检测 FSC 及所有荧光通道峰</w:t>
            </w:r>
          </w:p>
          <w:p w14:paraId="17037C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值荧光道数的波动范围≤±10%； </w:t>
            </w:r>
          </w:p>
          <w:p w14:paraId="278550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进样系统： 自动 40 管试管架，EP 管，96 孔板自动进样，上样系统具有自动混匀功 </w:t>
            </w:r>
          </w:p>
          <w:p w14:paraId="15AB70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能； </w:t>
            </w:r>
          </w:p>
          <w:p w14:paraId="2E4293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15.体积法进样： 采用定量泵定体积进样，分析时标本间自动清洗； </w:t>
            </w:r>
          </w:p>
          <w:p w14:paraId="042DB0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细胞/颗粒计数功能：具备； </w:t>
            </w:r>
          </w:p>
          <w:p w14:paraId="25B29E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17.自动清洗系统： 多种液路系统自动维护程序，一键自动操作； </w:t>
            </w:r>
          </w:p>
          <w:p w14:paraId="17BD47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18.软件： 具有多通道多参数采集功能，可控制仪器进行采样实时显示，支持数据采集、分 </w:t>
            </w:r>
          </w:p>
          <w:p w14:paraId="7F701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析、 自动存储、导入、导出及添加报告功能。</w:t>
            </w:r>
          </w:p>
        </w:tc>
      </w:tr>
    </w:tbl>
    <w:p w14:paraId="49C91CCE">
      <w:pPr>
        <w:jc w:val="both"/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E45A3B-40A7-4FA8-9D5E-06329828053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4A0589D-F527-4042-A805-41C9573A5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DDC52F-F634-4B2C-9F52-66CF246028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665BF"/>
    <w:multiLevelType w:val="singleLevel"/>
    <w:tmpl w:val="DD0665BF"/>
    <w:lvl w:ilvl="0" w:tentative="0">
      <w:start w:val="1"/>
      <w:numFmt w:val="decimal"/>
      <w:suff w:val="space"/>
      <w:lvlText w:val="2.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F9D5C88F"/>
    <w:multiLevelType w:val="singleLevel"/>
    <w:tmpl w:val="F9D5C88F"/>
    <w:lvl w:ilvl="0" w:tentative="0">
      <w:start w:val="1"/>
      <w:numFmt w:val="decimal"/>
      <w:suff w:val="space"/>
      <w:lvlText w:val="1.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BC09558"/>
    <w:multiLevelType w:val="singleLevel"/>
    <w:tmpl w:val="FBC09558"/>
    <w:lvl w:ilvl="0" w:tentative="0">
      <w:start w:val="1"/>
      <w:numFmt w:val="decimal"/>
      <w:suff w:val="space"/>
      <w:lvlText w:val="3.%1"/>
      <w:lvlJc w:val="left"/>
      <w:pPr>
        <w:ind w:left="425" w:leftChars="0" w:hanging="425" w:firstLineChars="0"/>
      </w:pPr>
      <w:rPr>
        <w:rFonts w:hint="default" w:ascii="宋体" w:hAnsi="宋体" w:eastAsia="宋体" w:cs="宋体"/>
        <w:sz w:val="20"/>
        <w:szCs w:val="20"/>
      </w:rPr>
    </w:lvl>
  </w:abstractNum>
  <w:abstractNum w:abstractNumId="3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6486E1E"/>
    <w:multiLevelType w:val="multilevel"/>
    <w:tmpl w:val="56486E1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CDB522D"/>
    <w:rsid w:val="14CC076E"/>
    <w:rsid w:val="22AE1AF2"/>
    <w:rsid w:val="244027D4"/>
    <w:rsid w:val="244C2FA2"/>
    <w:rsid w:val="288A17B6"/>
    <w:rsid w:val="297A1C41"/>
    <w:rsid w:val="2F0B4B1C"/>
    <w:rsid w:val="324C721E"/>
    <w:rsid w:val="35D9092A"/>
    <w:rsid w:val="4FF23706"/>
    <w:rsid w:val="518D1020"/>
    <w:rsid w:val="56FF0AB4"/>
    <w:rsid w:val="5AD47E14"/>
    <w:rsid w:val="5E2F16B4"/>
    <w:rsid w:val="61F104FE"/>
    <w:rsid w:val="64B17E97"/>
    <w:rsid w:val="683146C1"/>
    <w:rsid w:val="70956189"/>
    <w:rsid w:val="77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2605</Words>
  <Characters>3074</Characters>
  <Lines>0</Lines>
  <Paragraphs>0</Paragraphs>
  <TotalTime>0</TotalTime>
  <ScaleCrop>false</ScaleCrop>
  <LinksUpToDate>false</LinksUpToDate>
  <CharactersWithSpaces>3177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2025-02-28T09:16:53Z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