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85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333333"/>
          <w:spacing w:val="0"/>
          <w:kern w:val="2"/>
          <w:sz w:val="32"/>
          <w:szCs w:val="32"/>
          <w:u w:val="none"/>
          <w:lang w:val="en-US" w:eastAsia="zh-CN" w:bidi="ar-SA"/>
        </w:rPr>
        <w:t>崇左市人民医院全自动血液分析仪流水线采购项目主要需求参数</w:t>
      </w:r>
    </w:p>
    <w:p w14:paraId="3A512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jc w:val="left"/>
        <w:textAlignment w:val="auto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一、崇左市人民医院全自动血液分析仪流水线采购项目采购需求</w:t>
      </w:r>
    </w:p>
    <w:tbl>
      <w:tblPr>
        <w:tblStyle w:val="9"/>
        <w:tblW w:w="4887" w:type="pct"/>
        <w:tblInd w:w="9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4221"/>
        <w:gridCol w:w="589"/>
        <w:gridCol w:w="654"/>
        <w:gridCol w:w="1135"/>
        <w:gridCol w:w="1136"/>
      </w:tblGrid>
      <w:tr w14:paraId="198E2E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tblHeader/>
        </w:trPr>
        <w:tc>
          <w:tcPr>
            <w:tcW w:w="353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2FD13E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2535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CCB8F3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设备名称</w:t>
            </w:r>
          </w:p>
        </w:tc>
        <w:tc>
          <w:tcPr>
            <w:tcW w:w="353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E4A3B6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392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7AA761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C40BF1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预算单价（万元）</w:t>
            </w:r>
          </w:p>
        </w:tc>
        <w:tc>
          <w:tcPr>
            <w:tcW w:w="682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42157A7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预算总价（万元）</w:t>
            </w:r>
          </w:p>
        </w:tc>
      </w:tr>
      <w:tr w14:paraId="1963D7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DD6CF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A3DE40C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全自动血液分析仪流水线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489EF5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83D7F1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C5BD0AF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F8D47B0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20</w:t>
            </w:r>
          </w:p>
        </w:tc>
      </w:tr>
      <w:tr w14:paraId="01BBB5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D1C0D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8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3F97A05">
            <w:pPr>
              <w:tabs>
                <w:tab w:val="left" w:pos="3945"/>
              </w:tabs>
              <w:spacing w:line="240" w:lineRule="auto"/>
              <w:jc w:val="right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合计：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C5C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9DF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A37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</w:tbl>
    <w:p w14:paraId="6FD70F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崇左市人民医院全自动血液分析仪流水线主要技术参数</w:t>
      </w:r>
    </w:p>
    <w:tbl>
      <w:tblPr>
        <w:tblStyle w:val="9"/>
        <w:tblW w:w="8272" w:type="dxa"/>
        <w:tblInd w:w="127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989"/>
        <w:gridCol w:w="6654"/>
      </w:tblGrid>
      <w:tr w14:paraId="79C5F3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tblHeader/>
        </w:trPr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BF1565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8FD406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设备名称</w:t>
            </w:r>
          </w:p>
        </w:tc>
        <w:tc>
          <w:tcPr>
            <w:tcW w:w="665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EDCCFA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主要技术参数要求</w:t>
            </w:r>
          </w:p>
        </w:tc>
      </w:tr>
      <w:tr w14:paraId="218B37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CF4C3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5FD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全自动血液分析仪流水线</w:t>
            </w:r>
          </w:p>
        </w:tc>
        <w:tc>
          <w:tcPr>
            <w:tcW w:w="6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2933C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一、全自动血液分析仪流水线基本功能及各模块参数</w:t>
            </w:r>
          </w:p>
          <w:p w14:paraId="76720B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（一）设备基本功能 </w:t>
            </w:r>
          </w:p>
          <w:p w14:paraId="1C436F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1.全自动血液分析流水线由全自动五分类血液细胞分析仪、全自动免疫分析模块（可拓展CRP、SAA等）、推片染色机以及全自动细胞形态学分析仪（阅片机）等多个模块通过轨道实现物理连接。 </w:t>
            </w:r>
          </w:p>
          <w:p w14:paraId="043FE4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2.全自动血液分析流水线检测速度要求：血细胞五分类检测速度≥330个样本/小时。 </w:t>
            </w:r>
          </w:p>
          <w:p w14:paraId="22BC5C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3.流水线上模块可同时开展CRP及SAA检测，且CRP检测速度≥190个样本/小时，SAA检测速度≥180个样本/小时。 </w:t>
            </w:r>
          </w:p>
          <w:p w14:paraId="6A10C8B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4.流水线上自动推片染色速度≥120张玻片/小时，样本量≤40uL，染液开放，支持染色程序自定义。 </w:t>
            </w:r>
          </w:p>
          <w:p w14:paraId="4B0BE6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5.自动阅片速度≥40个样本/小时。从进样、扫描、定位、加油、各放大倍数间切换、拍摄、分类到报告完全自动化操作，包括白细胞单细胞图像摄取、初步分类，红细胞形态描述及血小板数目估算。 </w:t>
            </w:r>
          </w:p>
          <w:p w14:paraId="0C083DD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.具备样本处理功能，具备急诊样本和批量急诊样本随时插入功能，具有全自动体液（含胸水、腹水、脑脊液、滑膜液等）的细胞计数功能，可对体液中的白细胞进行分类，并能生成报告参数且体液模式报告检测参数。 </w:t>
            </w:r>
          </w:p>
          <w:p w14:paraId="523F334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7.配置设备外置显示器，以及可用于出具报告的计算机和配套智慧化分析管理系统。 </w:t>
            </w:r>
          </w:p>
          <w:p w14:paraId="6BFC4E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（二）单台血液分析仪核心参数： </w:t>
            </w:r>
          </w:p>
          <w:p w14:paraId="5D2845B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1.检测项目：至少可提供血细胞分析报告参数≥37 项核心参数，体液检测参数≥7 项，支持 CRP/SAA 联检。 </w:t>
            </w:r>
          </w:p>
          <w:p w14:paraId="7FA8CDA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2.检测速度：：单台检测速度血液细胞分析≥110 样本/小时，特定蛋白分析≥80 样本/小时。 </w:t>
            </w:r>
          </w:p>
          <w:p w14:paraId="0682AE9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3.精密度：WBC CV≤2.0%，PLT CV≤4.0%，HGB CV≤1.5%，RBC CV≤2.0%（严格遵循国标要求）。 </w:t>
            </w:r>
          </w:p>
          <w:p w14:paraId="4505CB9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4.样本要求：支持静脉血、末梢血、预稀释、体液样本，闭盖穿刺进样，携带污染率≤0.5%。 </w:t>
            </w:r>
          </w:p>
          <w:p w14:paraId="4AF106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5.功能配置：AI 异常细胞识别、自动复检功能，数据存储≥20000 份，支持 LIS 系统对接。 </w:t>
            </w:r>
          </w:p>
          <w:p w14:paraId="39CDF4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6. 血液分析线性范围（静脉血）：白细胞（0～500） 109/L，红细胞（0～8.6） 1012/L，血小板（0～5000） 109/L。 </w:t>
            </w:r>
          </w:p>
          <w:p w14:paraId="18151DB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（三）配套推片机参数： </w:t>
            </w:r>
          </w:p>
          <w:p w14:paraId="7BB06D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1.单台推片染色机工作速度≥120片/小时，支持批量加载≥20 个样本，自动条码识别追溯。 </w:t>
            </w:r>
          </w:p>
          <w:p w14:paraId="1DBB4B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2.涂片质量：薄厚均匀（层厚 1-3μm），头体尾分明，无划痕 / 溶血，符合 WS/T 347-2011 标准。 </w:t>
            </w:r>
          </w:p>
          <w:p w14:paraId="156972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3.样本兼容性：适配 2-10ml 真空采血管，支持末梢血涂片（需配套适配器）。 </w:t>
            </w:r>
          </w:p>
          <w:p w14:paraId="3F5F51E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4.操作功能：自动调整涂片角度（25-45°可调）、推片速度，支持异常样本（如贫血、高凝）智能适配。 </w:t>
            </w:r>
          </w:p>
          <w:p w14:paraId="5A97E2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（四）配套染片机参数： </w:t>
            </w:r>
          </w:p>
          <w:p w14:paraId="4695EC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1.染色方式：瑞氏 - 姬姆萨混合染色，支持染色时间自定义（3-10 分钟可调）。 </w:t>
            </w:r>
          </w:p>
          <w:p w14:paraId="4ECE72E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2.染色效率：≥120片/小时，与推片机无缝联动，自动接收涂片并染色。 </w:t>
            </w:r>
          </w:p>
          <w:p w14:paraId="287AE4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3.染色质量：细胞形态清晰，核质对比分明，无染液残留，符合WS/T 348-2011标准。 </w:t>
            </w:r>
          </w:p>
          <w:p w14:paraId="69C966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4.安全配置：染液密封存储，废液自动收集，具备漏液报警、紫外消毒功能。 </w:t>
            </w:r>
          </w:p>
          <w:p w14:paraId="516BB7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（五）细胞形态学分析仪参数： </w:t>
            </w:r>
          </w:p>
          <w:p w14:paraId="6D93A9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1.适用范围：用于对外周血涂片血细胞的形态图像摄取、可视化观察及描述，包括白细胞单细胞图像摄取、初步分类，红细胞形态描述及血小板数目估算。 </w:t>
            </w:r>
          </w:p>
          <w:p w14:paraId="39DE6B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2.为保障仪器兼容性，全自动细胞形态学分析仪需与血液细胞分析仪相兼容，并可通过轨道实现物理连接。 </w:t>
            </w:r>
          </w:p>
          <w:p w14:paraId="4DAEC6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3.阅片机可对体液样本进行预分类提示。 </w:t>
            </w:r>
          </w:p>
          <w:p w14:paraId="2A7B3D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4.白细胞预分类识别符合率≥90%。 </w:t>
            </w:r>
          </w:p>
          <w:p w14:paraId="2134F5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（六）全自动免疫分析模块 </w:t>
            </w:r>
          </w:p>
          <w:p w14:paraId="01AB67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1.为保障各模块检测结果兼容性，全自动特定蛋白分析仪需与血液细胞分析流水线相兼容，并可通过轨道实现物理连接。 </w:t>
            </w:r>
          </w:p>
          <w:p w14:paraId="3F2255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2.检测功能：具体两个试剂仓，可同时检测C-反应蛋白（CRP）以及血清淀粉样蛋白A</w:t>
            </w:r>
            <w:r>
              <w:rPr>
                <w:rFonts w:hint="eastAsia" w:eastAsia="宋体"/>
                <w:lang w:eastAsia="zh-CN"/>
              </w:rPr>
              <w:t>。</w:t>
            </w:r>
          </w:p>
          <w:p w14:paraId="7B8A9CD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 CRP项目报告参数≥3项。 </w:t>
            </w:r>
          </w:p>
          <w:p w14:paraId="180475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4.CRP线性范围：0.2～320mg/L。 </w:t>
            </w:r>
          </w:p>
          <w:p w14:paraId="268E64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5.SAA线性范围：3～400mg/L。 </w:t>
            </w:r>
          </w:p>
          <w:p w14:paraId="2F7BDE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（七）流水线联动功能： </w:t>
            </w:r>
          </w:p>
          <w:p w14:paraId="48074A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1.样本从进样、检测、涂片、染色到出片全自动化，全程无需人工干预。 </w:t>
            </w:r>
          </w:p>
          <w:p w14:paraId="1E0921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2.检测数据与涂片/染色结果一一对应，支持 LIS 系统同步上传，可追溯样本全流程信息。 </w:t>
            </w:r>
          </w:p>
          <w:p w14:paraId="3C88C6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3.异常样本自动标记并优先处理，支持人工复检介入通道。 </w:t>
            </w:r>
          </w:p>
          <w:p w14:paraId="766890B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二、配置需求 </w:t>
            </w:r>
          </w:p>
          <w:p w14:paraId="5E535B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1.全自动血细胞分析仪3台 </w:t>
            </w:r>
          </w:p>
          <w:p w14:paraId="0DB0AB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2.全自动免疫分析仪1台 </w:t>
            </w:r>
          </w:p>
          <w:p w14:paraId="15B8B5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3.推片染色仪1台 </w:t>
            </w:r>
          </w:p>
          <w:p w14:paraId="2A391C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4.血细胞形态学分析仪1台 </w:t>
            </w:r>
          </w:p>
          <w:p w14:paraId="18AB56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5.样本处理系统1套 </w:t>
            </w:r>
          </w:p>
          <w:p w14:paraId="47A1CC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highlight w:val="red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6.计算机1套 </w:t>
            </w:r>
            <w:bookmarkStart w:id="0" w:name="_GoBack"/>
            <w:bookmarkEnd w:id="0"/>
          </w:p>
        </w:tc>
      </w:tr>
    </w:tbl>
    <w:p w14:paraId="26DB79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jc w:val="both"/>
        <w:textAlignment w:val="auto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</w:p>
    <w:p w14:paraId="3B8075C6">
      <w:pPr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7DB32C"/>
    <w:multiLevelType w:val="singleLevel"/>
    <w:tmpl w:val="2C7DB32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NzQ5OWM0MzFhMTNlYWQ3MzI5MjZiYmE2MjU1NjMifQ=="/>
  </w:docVars>
  <w:rsids>
    <w:rsidRoot w:val="00000000"/>
    <w:rsid w:val="00921C48"/>
    <w:rsid w:val="016D740E"/>
    <w:rsid w:val="05852631"/>
    <w:rsid w:val="061F0937"/>
    <w:rsid w:val="0B51154E"/>
    <w:rsid w:val="0CDB522D"/>
    <w:rsid w:val="0F5F2145"/>
    <w:rsid w:val="108A31F2"/>
    <w:rsid w:val="13060846"/>
    <w:rsid w:val="1E33399B"/>
    <w:rsid w:val="1F2008F0"/>
    <w:rsid w:val="20D858B3"/>
    <w:rsid w:val="23D7309E"/>
    <w:rsid w:val="257C55A1"/>
    <w:rsid w:val="29564161"/>
    <w:rsid w:val="2B4D50E5"/>
    <w:rsid w:val="2E2465DC"/>
    <w:rsid w:val="2E246D3F"/>
    <w:rsid w:val="31BF5645"/>
    <w:rsid w:val="324C721E"/>
    <w:rsid w:val="32E91A2B"/>
    <w:rsid w:val="34D81B8B"/>
    <w:rsid w:val="36F21EEE"/>
    <w:rsid w:val="3BAE69E6"/>
    <w:rsid w:val="3D45187A"/>
    <w:rsid w:val="3DD06EB3"/>
    <w:rsid w:val="412264AC"/>
    <w:rsid w:val="45BC6CA2"/>
    <w:rsid w:val="473961E5"/>
    <w:rsid w:val="48C72BD1"/>
    <w:rsid w:val="4D553BE3"/>
    <w:rsid w:val="4E7C21CC"/>
    <w:rsid w:val="514F30C0"/>
    <w:rsid w:val="55522357"/>
    <w:rsid w:val="56FF0AB4"/>
    <w:rsid w:val="5C5F49DD"/>
    <w:rsid w:val="5C7F75E3"/>
    <w:rsid w:val="5CCB440F"/>
    <w:rsid w:val="5D4810F0"/>
    <w:rsid w:val="5D7A2334"/>
    <w:rsid w:val="5E334DCB"/>
    <w:rsid w:val="5E671A59"/>
    <w:rsid w:val="64274C2C"/>
    <w:rsid w:val="67A00003"/>
    <w:rsid w:val="683146C1"/>
    <w:rsid w:val="689627C2"/>
    <w:rsid w:val="6B942C50"/>
    <w:rsid w:val="6BD97063"/>
    <w:rsid w:val="6F0C6A0E"/>
    <w:rsid w:val="70956189"/>
    <w:rsid w:val="72302549"/>
    <w:rsid w:val="762B0B7B"/>
    <w:rsid w:val="7759119D"/>
    <w:rsid w:val="77C3111B"/>
    <w:rsid w:val="77F720DB"/>
    <w:rsid w:val="7C686325"/>
    <w:rsid w:val="7D645FA3"/>
    <w:rsid w:val="7DA024D6"/>
    <w:rsid w:val="7F7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宋体" w:hAnsi="Courier New"/>
    </w:rPr>
  </w:style>
  <w:style w:type="paragraph" w:styleId="3">
    <w:name w:val="Body Text"/>
    <w:basedOn w:val="1"/>
    <w:next w:val="4"/>
    <w:qFormat/>
    <w:uiPriority w:val="0"/>
    <w:pPr>
      <w:spacing w:after="120" w:afterAutospacing="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ody Text Indent"/>
    <w:basedOn w:val="1"/>
    <w:next w:val="6"/>
    <w:qFormat/>
    <w:uiPriority w:val="0"/>
    <w:pPr>
      <w:ind w:firstLine="830" w:firstLineChars="352"/>
    </w:pPr>
    <w:rPr>
      <w:rFonts w:ascii="仿宋_GB2312" w:hAnsi="Calibri" w:eastAsia="仿宋_GB2312" w:cs="Times New Roman"/>
      <w:kern w:val="0"/>
      <w:sz w:val="32"/>
      <w:szCs w:val="20"/>
    </w:rPr>
  </w:style>
  <w:style w:type="paragraph" w:styleId="6">
    <w:name w:val="envelope return"/>
    <w:basedOn w:val="1"/>
    <w:qFormat/>
    <w:uiPriority w:val="0"/>
    <w:rPr>
      <w:rFonts w:ascii="Arial" w:hAnsi="Arial" w:eastAsia="宋体" w:cs="Arial"/>
      <w:kern w:val="1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2">
    <w:name w:val="Table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1732</Words>
  <Characters>1994</Characters>
  <Lines>0</Lines>
  <Paragraphs>0</Paragraphs>
  <TotalTime>5</TotalTime>
  <ScaleCrop>false</ScaleCrop>
  <LinksUpToDate>false</LinksUpToDate>
  <CharactersWithSpaces>2084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2024-09-28T09:02:00Z</dcterms:created>
  <dc:creator>raven</dc:creator>
  <cp:lastModifiedBy>卫永强</cp:lastModifiedBy>
  <dcterms:modified xsi:type="dcterms:W3CDTF">2025-11-24T02:34:44Z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2D32CEBB1CFB4D8E8D77216DC4A1859F_12</vt:lpwstr>
  </property>
  <property fmtid="{D5CDD505-2E9C-101B-9397-08002B2CF9AE}" pid="4" name="KSOTemplateDocerSaveRecord">
    <vt:lpwstr>eyJoZGlkIjoiZjkyOTcyNzkxZTQwNGY0NmFjNjVmZDI4ZjM1NjBlZjAiLCJ1c2VySWQiOiI1MTM4NDA5NTcifQ==</vt:lpwstr>
  </property>
</Properties>
</file>