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  <w:t>崇左市人民医院全自动血液分析仪流水线采购项目主要需求参数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一、崇左市人民医院全自动血液分析仪流水线采购项目采购需求</w:t>
      </w:r>
    </w:p>
    <w:tbl>
      <w:tblPr>
        <w:tblStyle w:val="9"/>
        <w:tblW w:w="4887" w:type="pct"/>
        <w:tblInd w:w="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4221"/>
        <w:gridCol w:w="589"/>
        <w:gridCol w:w="654"/>
        <w:gridCol w:w="1135"/>
        <w:gridCol w:w="1136"/>
      </w:tblGrid>
      <w:tr w14:paraId="198E2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</w:trPr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FD13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53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CB8F3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4A3B6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9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AA76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40BF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预算单价（万元）</w:t>
            </w:r>
          </w:p>
        </w:tc>
        <w:tc>
          <w:tcPr>
            <w:tcW w:w="68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157A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预算总价（万元）</w:t>
            </w:r>
          </w:p>
        </w:tc>
      </w:tr>
      <w:tr w14:paraId="1963D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D6C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DE40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全自动血液分析仪流水线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89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3D7F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5BD0A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8D47B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20</w:t>
            </w:r>
          </w:p>
        </w:tc>
      </w:tr>
      <w:tr w14:paraId="01BB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D1C0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3F97A05">
            <w:pPr>
              <w:tabs>
                <w:tab w:val="left" w:pos="3945"/>
              </w:tabs>
              <w:spacing w:line="240" w:lineRule="auto"/>
              <w:ind w:firstLine="1800" w:firstLineChars="1000"/>
              <w:jc w:val="both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5C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DF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7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崇左市人民医院全自动血液分析仪流水线主要技术参数</w:t>
      </w:r>
      <w:bookmarkStart w:id="0" w:name="_GoBack"/>
      <w:bookmarkEnd w:id="0"/>
    </w:p>
    <w:tbl>
      <w:tblPr>
        <w:tblStyle w:val="9"/>
        <w:tblW w:w="8272" w:type="dxa"/>
        <w:tblInd w:w="12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89"/>
        <w:gridCol w:w="6654"/>
      </w:tblGrid>
      <w:tr w14:paraId="79C5F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F156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FD406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66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EDCCF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主要技术参数要求</w:t>
            </w:r>
          </w:p>
        </w:tc>
      </w:tr>
      <w:tr w14:paraId="218B3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F4C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F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全自动血液分析仪流水线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EC10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注明：▲为实质性参数，不满足则投标无效，★为重要参数，不满足则技术分减少 </w:t>
            </w:r>
          </w:p>
          <w:p w14:paraId="5B19D4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全自动血液分析流水线技术参数 </w:t>
            </w:r>
          </w:p>
          <w:p w14:paraId="6D2EFF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一、 总体要求 </w:t>
            </w:r>
          </w:p>
          <w:p w14:paraId="0C35FD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1.系统构成：一套完整的全自动血液分析流水线，必须包含：样本前处理系统、全自动血液细胞分 </w:t>
            </w:r>
          </w:p>
          <w:p w14:paraId="631DAB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析仪、全自动特定蛋白分析仪、全自动推片染色机、全自动细胞形态学分析仪（阅片机），以及中 </w:t>
            </w:r>
          </w:p>
          <w:p w14:paraId="3F0621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央控制软件与轨道传输系统。各模块必须为同一品牌或经制造商官方认证的集成方案，实现样本 </w:t>
            </w:r>
          </w:p>
          <w:p w14:paraId="28AC3F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流、数据流一体化管理。 </w:t>
            </w:r>
          </w:p>
          <w:p w14:paraId="42618C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2.核心性能：满足高通量实验室需求，实现从样本上机到报告审核的全流程自动化、智能化。 </w:t>
            </w:r>
          </w:p>
          <w:p w14:paraId="41ED4E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3.资质与售后：投标产品所有组成部分均须具备有效的中国医疗器械注册证（NMPA）。制造商或其 </w:t>
            </w:r>
          </w:p>
          <w:p w14:paraId="730459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在华授权服务机构须提供整线原厂保修与技术支持。 </w:t>
            </w:r>
          </w:p>
          <w:p w14:paraId="6A82D2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二、 样本前处理系统 </w:t>
            </w:r>
          </w:p>
          <w:p w14:paraId="2BFAC3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1.进样单元：主进样架容量 ≥ 200管，支持不间断连续进样及急诊样本优先插入。 </w:t>
            </w:r>
          </w:p>
          <w:p w14:paraId="10C9C3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2.样本识别：具备360°条码自动扫描功能。 </w:t>
            </w:r>
          </w:p>
          <w:p w14:paraId="4442C3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3.★智能分拣与路由：可根据预设规则（如HCT、PLT结果）或指令，自动将需推片样本分送至推片 </w:t>
            </w:r>
          </w:p>
          <w:p w14:paraId="58932B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机。 </w:t>
            </w:r>
          </w:p>
          <w:p w14:paraId="1BCEC4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4.轨道传输：采用双向轨道，传输速度可调，支持样本智能调度、急诊优先。 </w:t>
            </w:r>
          </w:p>
          <w:p w14:paraId="699DF0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5.样本质量探测：具备样本凝块、液面高度等基础检测能力。 </w:t>
            </w:r>
          </w:p>
          <w:p w14:paraId="07EC0E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三、 核心分析模块技术参数 </w:t>
            </w:r>
          </w:p>
          <w:p w14:paraId="7A7C21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3.1 全自动血液细胞分析仪 </w:t>
            </w:r>
          </w:p>
          <w:p w14:paraId="69ACDA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1.检测原理：采用半导体激光散射、荧光染色及流式细胞技术等，实现五分类及异常细胞警示。 </w:t>
            </w:r>
          </w:p>
          <w:p w14:paraId="253530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2.▲单机检测速度：CBC+DIFF+NRBC ≥ 120样本/小时。 </w:t>
            </w:r>
          </w:p>
          <w:p w14:paraId="5AD9A2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3.▲流水线整体检测速度：系统血细胞五分类检测速度 ≥390样本/小时。 </w:t>
            </w:r>
          </w:p>
          <w:p w14:paraId="6A09E5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4.联检功能：支持与CRP、SAA等特定蛋白同步检测（同一管血、一次进样）。 </w:t>
            </w:r>
          </w:p>
          <w:p w14:paraId="773CDB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5.体液模式：具备全自动体液细胞计数与分类功能。可对体液中的白细胞进行分类，并能生成报告 </w:t>
            </w:r>
          </w:p>
          <w:p w14:paraId="52ED33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参数且体液模式报告检测参数≥7项。 </w:t>
            </w:r>
          </w:p>
          <w:p w14:paraId="037C68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6.线性范围：白细胞：（0～500） 109/L，红细胞：（0～8.6） 1012/L，血小板： </w:t>
            </w:r>
          </w:p>
          <w:p w14:paraId="141C68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（0～5000） 109/L。 </w:t>
            </w:r>
          </w:p>
          <w:p w14:paraId="768EB8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7.提供配套校准品及校准品溯源文件，此校准品应包含网织红细胞测定项目（RET）的校准参数。 </w:t>
            </w:r>
          </w:p>
          <w:p w14:paraId="433EB9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8. ★仪器预期使用年限≥7年，需提供仪器背面标贴图作为佐证 </w:t>
            </w:r>
          </w:p>
          <w:p w14:paraId="1491F0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3.2 全自动特定蛋白分析仪（1台） </w:t>
            </w:r>
          </w:p>
          <w:p w14:paraId="2A1647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1.品牌与集成：必须与血液细胞分析仪为同一品牌，并通过轨道实现物理连接与数据整合。 </w:t>
            </w:r>
          </w:p>
          <w:p w14:paraId="7E3AC8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2.检测功能：可同时检测CRP及SAA。 </w:t>
            </w:r>
          </w:p>
          <w:p w14:paraId="290E89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3.★单机检测速度：CRP或SAA ≥ 120测试/小时。 </w:t>
            </w:r>
          </w:p>
          <w:p w14:paraId="39C2A3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4.线性范围：CRP线性范围：0.2～320mg/L；SAA线性范围：5～320mg/L。 </w:t>
            </w:r>
          </w:p>
          <w:p w14:paraId="762BC4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3.3 全自动推片染色机（1台） </w:t>
            </w:r>
          </w:p>
          <w:p w14:paraId="144DE3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1.处理速度：工作速度 ≥ 120张玻片/小时。 </w:t>
            </w:r>
          </w:p>
          <w:p w14:paraId="74BE9D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2.★微量采血：微量模式用血量 ≤ 40μL。 </w:t>
            </w:r>
          </w:p>
          <w:p w14:paraId="6C467B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 ▲品牌兼容性：必须与血液分析仪为同一品牌。 </w:t>
            </w:r>
          </w:p>
          <w:p w14:paraId="57F1CD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4.染液全开放，染色时间可调。 </w:t>
            </w:r>
          </w:p>
          <w:p w14:paraId="43DC58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5.单台仪器对玻片的最大装载量≥140片。 </w:t>
            </w:r>
          </w:p>
          <w:p w14:paraId="28D8A6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3.4 全自动细胞形态学分析仪（阅片机）（1台） </w:t>
            </w:r>
          </w:p>
          <w:p w14:paraId="1B41C4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1.核心功能：用于对外周血涂片血细胞的形态图像摄取、可视化观察及描述，包括白细胞单细胞图 </w:t>
            </w:r>
          </w:p>
          <w:p w14:paraId="59127F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像摄取、初步分类，红细胞形态描述及血小板数目估算。 </w:t>
            </w:r>
          </w:p>
          <w:p w14:paraId="36DCA3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2.★品牌兼容性：必须与血液分析仪为同一品牌，并通过轨道物理连接。 </w:t>
            </w:r>
          </w:p>
          <w:p w14:paraId="34F11D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3.★预分类符合率：白细胞预分类识别符合率 ≥ 90%。。 </w:t>
            </w:r>
          </w:p>
          <w:p w14:paraId="61E9D7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4.阅片机可对体液样本进行预分类提示。 </w:t>
            </w:r>
          </w:p>
          <w:p w14:paraId="65C89C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四、 中央控制与信息管理系统 </w:t>
            </w:r>
          </w:p>
          <w:p w14:paraId="4CE96D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1.统一控制：单一软件平台控制所有模块，实时监控样本状态、设备运行与报警信息。 </w:t>
            </w:r>
          </w:p>
          <w:p w14:paraId="40ED4C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2.智能规则：具备用户可自定义的自动复检规则与自动推片规则，规则可基于CBC、DIFF、特定蛋白 </w:t>
            </w:r>
          </w:p>
          <w:p w14:paraId="0CE08D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等多参数组合。 </w:t>
            </w:r>
          </w:p>
          <w:p w14:paraId="209F51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3.结果整合：自动整合血液分析仪、特定蛋白、阅片机结果及图像，生成统一报告。 </w:t>
            </w:r>
          </w:p>
          <w:p w14:paraId="24FEA5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4.质控管理：支持全自动质控测试、多规则判读、质控图绘制与记录。 </w:t>
            </w:r>
          </w:p>
          <w:p w14:paraId="708AE3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5.数据接口：提供标准接口与医院LIS/HIS系统无缝对接，支持双向通信。 </w:t>
            </w:r>
          </w:p>
          <w:p w14:paraId="5D4F7D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6.系统扩展：软件平台应支持未来连接生化、免疫等模块，升级为全实验室自动化系统。 </w:t>
            </w:r>
          </w:p>
          <w:p w14:paraId="6E4359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五、 配置清单 </w:t>
            </w:r>
          </w:p>
          <w:p w14:paraId="21A0C2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1.样本前处理系统 ≥1套 </w:t>
            </w:r>
          </w:p>
          <w:p w14:paraId="7C58AF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2.全自动血液细胞分析仪 ≥2台 </w:t>
            </w:r>
          </w:p>
          <w:p w14:paraId="65EF99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3.全自动特定蛋白分析仪 ≥1台 </w:t>
            </w:r>
          </w:p>
          <w:p w14:paraId="6D7852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4.全自动推片染色机 ≥1台 </w:t>
            </w:r>
          </w:p>
          <w:p w14:paraId="6DCA03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5.全自动细胞形态学分析仪（阅片机）≥1台 </w:t>
            </w:r>
          </w:p>
          <w:p w14:paraId="70E5D2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6.中央控制软件及服务器 1套 </w:t>
            </w:r>
          </w:p>
          <w:p w14:paraId="2D82FB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7.显示器及操作终端 1套 </w:t>
            </w:r>
          </w:p>
          <w:p w14:paraId="395D1E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六、 售后服务与验证要求 </w:t>
            </w:r>
          </w:p>
          <w:p w14:paraId="1E48E7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1.★验证要求：中标后，供应商须对本底计数、携带污染率、批内精密度、日间精密度、线性范 </w:t>
            </w:r>
          </w:p>
          <w:p w14:paraId="7A6B6D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围、正确度、仪器间可比性、参考区间验证、白细胞预分类符合率、复检规则建立和验证等关键性 </w:t>
            </w:r>
          </w:p>
          <w:p w14:paraId="256F82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能指标进行现场验证，验证方法需双方事先确认。 </w:t>
            </w:r>
          </w:p>
          <w:p w14:paraId="32BF56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2.▲室间质评要求： 血液细胞分析仪模块品牌，必须在国家卫生健康委临床检验中心最新一期 </w:t>
            </w:r>
          </w:p>
          <w:p w14:paraId="288EC7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（以招标公告发布之日为准）全血细胞计数室间质评项目中，具备独立的仪器系列分组，且该品牌 </w:t>
            </w:r>
          </w:p>
          <w:p w14:paraId="4A0120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全国上报实验室数量 ≥15家。投标时须提供官网截图等证明材料。 </w:t>
            </w:r>
          </w:p>
          <w:p w14:paraId="2CA76E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3.保修：整线免费保修期不少于5年。 </w:t>
            </w:r>
          </w:p>
          <w:p w14:paraId="1CC4FA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4.培训：提供全面的操作、维护、规则设置与应用培训。 </w:t>
            </w:r>
          </w:p>
          <w:p w14:paraId="75C85A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七、成本需求 </w:t>
            </w:r>
          </w:p>
          <w:p w14:paraId="1BDB2E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1.全自动血细胞分析仪试剂+耗材成本控制在26%内。如试剂、耗材实施集采，将按集采价格采购。 </w:t>
            </w:r>
          </w:p>
          <w:p w14:paraId="70982F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2.CRP、SAA试剂+耗材成本控制在32%内。如试剂、耗材实施集采，将按集采价格采购。 </w:t>
            </w:r>
          </w:p>
          <w:p w14:paraId="47A1CC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highlight w:val="red"/>
                <w:lang w:val="en-US" w:eastAsia="zh-CN"/>
              </w:rPr>
            </w:pPr>
          </w:p>
        </w:tc>
      </w:tr>
    </w:tbl>
    <w:p w14:paraId="26DB7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B8075C6">
      <w:pPr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0921C48"/>
    <w:rsid w:val="016D740E"/>
    <w:rsid w:val="05852631"/>
    <w:rsid w:val="061F0937"/>
    <w:rsid w:val="0B51154E"/>
    <w:rsid w:val="0CDB522D"/>
    <w:rsid w:val="0F5F2145"/>
    <w:rsid w:val="108A31F2"/>
    <w:rsid w:val="13060846"/>
    <w:rsid w:val="1E33399B"/>
    <w:rsid w:val="1F2008F0"/>
    <w:rsid w:val="20D858B3"/>
    <w:rsid w:val="23D7309E"/>
    <w:rsid w:val="257C55A1"/>
    <w:rsid w:val="29564161"/>
    <w:rsid w:val="2B4D50E5"/>
    <w:rsid w:val="2E2465DC"/>
    <w:rsid w:val="2E246D3F"/>
    <w:rsid w:val="31BF5645"/>
    <w:rsid w:val="324C721E"/>
    <w:rsid w:val="32E91A2B"/>
    <w:rsid w:val="34D81B8B"/>
    <w:rsid w:val="365F01C8"/>
    <w:rsid w:val="36F21EEE"/>
    <w:rsid w:val="3BAE69E6"/>
    <w:rsid w:val="3D45187A"/>
    <w:rsid w:val="3DD06EB3"/>
    <w:rsid w:val="412264AC"/>
    <w:rsid w:val="45BC6CA2"/>
    <w:rsid w:val="473961E5"/>
    <w:rsid w:val="48C72BD1"/>
    <w:rsid w:val="4D553BE3"/>
    <w:rsid w:val="4E7C21CC"/>
    <w:rsid w:val="514F30C0"/>
    <w:rsid w:val="55522357"/>
    <w:rsid w:val="56FF0AB4"/>
    <w:rsid w:val="5C5F49DD"/>
    <w:rsid w:val="5C7F75E3"/>
    <w:rsid w:val="5CCB440F"/>
    <w:rsid w:val="5D4810F0"/>
    <w:rsid w:val="5D7A2334"/>
    <w:rsid w:val="5E334DCB"/>
    <w:rsid w:val="5E671A59"/>
    <w:rsid w:val="64274C2C"/>
    <w:rsid w:val="67A00003"/>
    <w:rsid w:val="683146C1"/>
    <w:rsid w:val="689627C2"/>
    <w:rsid w:val="6B942C50"/>
    <w:rsid w:val="6BD97063"/>
    <w:rsid w:val="6F0C6A0E"/>
    <w:rsid w:val="70956189"/>
    <w:rsid w:val="72302549"/>
    <w:rsid w:val="762B0B7B"/>
    <w:rsid w:val="7759119D"/>
    <w:rsid w:val="77C3111B"/>
    <w:rsid w:val="77F720DB"/>
    <w:rsid w:val="7C686325"/>
    <w:rsid w:val="7D645FA3"/>
    <w:rsid w:val="7DA024D6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"/>
    <w:basedOn w:val="1"/>
    <w:next w:val="6"/>
    <w:qFormat/>
    <w:uiPriority w:val="0"/>
    <w:pPr>
      <w:ind w:firstLine="830" w:firstLineChars="352"/>
    </w:pPr>
    <w:rPr>
      <w:rFonts w:ascii="仿宋_GB2312" w:hAnsi="Calibri" w:eastAsia="仿宋_GB2312" w:cs="Times New Roman"/>
      <w:kern w:val="0"/>
      <w:sz w:val="32"/>
      <w:szCs w:val="20"/>
    </w:rPr>
  </w:style>
  <w:style w:type="paragraph" w:styleId="6">
    <w:name w:val="envelope return"/>
    <w:basedOn w:val="1"/>
    <w:qFormat/>
    <w:uiPriority w:val="0"/>
    <w:rPr>
      <w:rFonts w:ascii="Arial" w:hAnsi="Arial" w:eastAsia="宋体" w:cs="Arial"/>
      <w:kern w:val="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1651</Words>
  <Characters>1851</Characters>
  <Lines>0</Lines>
  <Paragraphs>0</Paragraphs>
  <TotalTime>8</TotalTime>
  <ScaleCrop>false</ScaleCrop>
  <LinksUpToDate>false</LinksUpToDate>
  <CharactersWithSpaces>1931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2026-04-13T08:54:42Z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2D32CEBB1CFB4D8E8D77216DC4A1859F_12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