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  <w:t>崇左市人民医院单光子发射及X射线计算机断层成像系统（SPECTCT）采购项目主要需求参数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一、崇左市人民医院单光子发射及X射线计算机断层成像系统（SPECTCT）采购项目采购需求</w:t>
      </w:r>
    </w:p>
    <w:tbl>
      <w:tblPr>
        <w:tblStyle w:val="9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单光子发射及X射线计算机断层成像系统（SPECT/CT）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970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970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ind w:firstLine="1800" w:firstLineChars="1000"/>
              <w:jc w:val="both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崇左市人民医院单光子发射及X射线计算机断层成像系统（SPECTCT）主要技术参数</w:t>
      </w:r>
      <w:bookmarkStart w:id="0" w:name="_GoBack"/>
      <w:bookmarkEnd w:id="0"/>
    </w:p>
    <w:tbl>
      <w:tblPr>
        <w:tblStyle w:val="9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D4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DCC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F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单光子发射及X射线计算机断层成像系统（SPECTCT）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A0FFF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一、名称：单光子发射及X射线计算机断层成像系统 </w:t>
            </w:r>
          </w:p>
          <w:p w14:paraId="26EB2B2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二、数量：1台/套 </w:t>
            </w:r>
          </w:p>
          <w:p w14:paraId="3333AFC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三、设备用途：用于人体各种疾病的诊断，可供医生用于肿瘤、神经系统、心血管系统疾病的影像学检查及评估。 </w:t>
            </w:r>
          </w:p>
          <w:p w14:paraId="20A630A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四、规格要求：投标机型为投标人已获得NMPA认证且NMPA首次注册时间在2018年1月以后的带有16层诊断CT的一体化SPECT/CT产品。 </w:t>
            </w:r>
          </w:p>
          <w:p w14:paraId="40DCBF6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五、技术要求和参数：  </w:t>
            </w:r>
          </w:p>
          <w:p w14:paraId="066BCDE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 探头   </w:t>
            </w:r>
          </w:p>
          <w:p w14:paraId="6180AA8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 探头规格：两个探头，矩形，可变角 </w:t>
            </w:r>
          </w:p>
          <w:p w14:paraId="21309DA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▲5.1.2 探头有效视野（UFOV）：≥540mm×400mm </w:t>
            </w:r>
          </w:p>
          <w:p w14:paraId="2B57223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▲5.1.3 晶体类型：NaI晶体或CZT晶体 </w:t>
            </w:r>
          </w:p>
          <w:p w14:paraId="3C06888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5.1.4 晶体厚度：≥3/8英寸 </w:t>
            </w:r>
          </w:p>
          <w:p w14:paraId="393F8B9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5.1.5 能量范围（keV）：40 keV~580 keV </w:t>
            </w:r>
          </w:p>
          <w:p w14:paraId="13478CB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5.1.6 光电倍增管PMT：≥59只/探头 </w:t>
            </w:r>
          </w:p>
          <w:p w14:paraId="2A00A3C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▲5.1.7 固有能量分辨率：≤9.8% </w:t>
            </w:r>
          </w:p>
          <w:p w14:paraId="7725A0D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5.1.8 单探头最大计数率：≥460 kcps </w:t>
            </w:r>
          </w:p>
          <w:p w14:paraId="57E655A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5.1.9 固有空间分辨率  </w:t>
            </w:r>
          </w:p>
          <w:p w14:paraId="26E1281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5.1.9.1 FWHM(CFOV):≤4.0mm </w:t>
            </w:r>
          </w:p>
          <w:p w14:paraId="47B91D2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5.1.9.2 FWHM(UFOV):≤4.0mm </w:t>
            </w:r>
          </w:p>
          <w:p w14:paraId="72172D6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5.1.9.3 FWTM(CFOV):≤7.0mm </w:t>
            </w:r>
          </w:p>
          <w:p w14:paraId="2D25CFD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5.1.9.4 FWTM(UFOV):≤7.0mm </w:t>
            </w:r>
          </w:p>
          <w:p w14:paraId="770C6A8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▲5.1.10 系统灵敏度（</w:t>
            </w:r>
            <w:r>
              <w:rPr>
                <w:color w:val="auto"/>
              </w:rPr>
              <w:t>低能高分辨准直器，LEHR或LEHRS，NEMA标准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）：≥200cpm/μCi </w:t>
            </w:r>
          </w:p>
          <w:p w14:paraId="7761E18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5.1.11 SPECT重建空间分辨率（低能高分辨准直器，带散射，NEMA标准）  </w:t>
            </w:r>
          </w:p>
          <w:p w14:paraId="44A13AA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5.1.11.1 径向：≤10mm </w:t>
            </w:r>
          </w:p>
          <w:p w14:paraId="113802C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5.1.11.2 中心：≤10mm </w:t>
            </w:r>
          </w:p>
          <w:p w14:paraId="58D476D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5.1.11.3 切向：≤8mm </w:t>
            </w:r>
          </w:p>
          <w:p w14:paraId="59E94FB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5.1.12 固有均匀度  </w:t>
            </w:r>
          </w:p>
          <w:p w14:paraId="2B400B5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5.1.12.1 CFOV（积分）：≤3.0% </w:t>
            </w:r>
          </w:p>
          <w:p w14:paraId="60497A3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5.1.12.2 UFOV（微分）：≤3.0% </w:t>
            </w:r>
          </w:p>
          <w:p w14:paraId="7E48648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5.1.12.3 CFOV（微分）：≤2.5% </w:t>
            </w:r>
          </w:p>
          <w:p w14:paraId="4E1006FD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5.1.12.4 UFOV（积分）：≤4.0% </w:t>
            </w:r>
          </w:p>
          <w:p w14:paraId="60C956E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5.1.13 固有空间线性  </w:t>
            </w:r>
          </w:p>
          <w:p w14:paraId="55A0E1F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5.1.13.1 CFOV（微分）：≤0.2mm </w:t>
            </w:r>
          </w:p>
          <w:p w14:paraId="530A687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5.1.13.2 CFOV（绝对）：≤0.4mm </w:t>
            </w:r>
          </w:p>
          <w:p w14:paraId="32612E2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5.1.13.3 UFOV（微分）：≤0.2mm </w:t>
            </w:r>
          </w:p>
          <w:p w14:paraId="315F4ED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5.1.13.4 UFOV（绝对）：≤0.4mm </w:t>
            </w:r>
          </w:p>
          <w:p w14:paraId="270E017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 准直器  </w:t>
            </w:r>
          </w:p>
          <w:p w14:paraId="14917AD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5.2.1 低能高分辨型：提供 </w:t>
            </w:r>
          </w:p>
          <w:p w14:paraId="62A7EBF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▲5.2.1.1 适用核素：99m Tc 满足 </w:t>
            </w:r>
          </w:p>
          <w:p w14:paraId="3AC7960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▲5.2.1.2 系统分辨率（@10cm，FWHM,NEMA标准）：≤7.4 mm </w:t>
            </w:r>
          </w:p>
          <w:p w14:paraId="147CE04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5.2.2 高能通用型：提供 </w:t>
            </w:r>
          </w:p>
          <w:p w14:paraId="0AD442C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5.2.2.1 适用核素：131I 满足 </w:t>
            </w:r>
          </w:p>
          <w:p w14:paraId="59C4919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5.2.2.2 系统分辨率（@10cm，FWHM，NEMA标准）：≤12 mm </w:t>
            </w:r>
          </w:p>
          <w:p w14:paraId="08E778B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5.2.3 提供准直器更换车：每对准直器配一个独立准直器车 </w:t>
            </w:r>
          </w:p>
          <w:p w14:paraId="526A2CD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 机架 </w:t>
            </w:r>
          </w:p>
          <w:p w14:paraId="5158A11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5.3.1 机架孔径：≥70 cm </w:t>
            </w:r>
          </w:p>
          <w:p w14:paraId="2F0F8FF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5.3.2 机架高度：≤211 cm </w:t>
            </w:r>
          </w:p>
          <w:p w14:paraId="29BB8DB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5.3.3 提供双探头至少具有0°，90°，180°，反向180°这四种探头的采集角度。</w:t>
            </w:r>
          </w:p>
          <w:p w14:paraId="06785FC6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5.3.4 SPECT机架旋转角度范围：≥540º</w:t>
            </w:r>
          </w:p>
          <w:p w14:paraId="54126D7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5.3.5 提供除步进断层采集模式和连续断层采集模式外，提供第三种Swiftscan螺旋断层采集模式，可实现探头运动和静止时同时采集信号。  </w:t>
            </w:r>
          </w:p>
          <w:p w14:paraId="43E1448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5.3.6 提供病人安全保护装置  </w:t>
            </w:r>
          </w:p>
          <w:p w14:paraId="585215F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5.3.7 提供全自动人体轮廓跟踪  </w:t>
            </w:r>
          </w:p>
          <w:p w14:paraId="1A6D162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5.4 病人检查床  </w:t>
            </w:r>
          </w:p>
          <w:p w14:paraId="10F3792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5.4.1 衰减率：&lt;10% </w:t>
            </w:r>
          </w:p>
          <w:p w14:paraId="128167D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5.4.2 检查床最大承重：≥227kg </w:t>
            </w:r>
          </w:p>
          <w:p w14:paraId="071B30B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5.4.3 全身扫描范围：≥200cm </w:t>
            </w:r>
          </w:p>
          <w:p w14:paraId="7D2E07BD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5.4.4 扫描床自动记忆辅助定位标尺：提供触摸控制自动定位辅助功能。</w:t>
            </w:r>
          </w:p>
          <w:p w14:paraId="210FE92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5.5 CT  </w:t>
            </w:r>
          </w:p>
          <w:p w14:paraId="6C1872F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5.5.1 探测器  </w:t>
            </w:r>
          </w:p>
          <w:p w14:paraId="5E94920D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▲5.5.1.1 轴扫一圈采集最大层数：≥16层 </w:t>
            </w:r>
          </w:p>
          <w:p w14:paraId="62197A3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5.5.2 球管  </w:t>
            </w:r>
          </w:p>
          <w:p w14:paraId="4406306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5.5.2.1 阳极热容量：≥2 MHU </w:t>
            </w:r>
          </w:p>
          <w:p w14:paraId="263DD96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▲5.5.2.2 最大电压：≥140 kV </w:t>
            </w:r>
          </w:p>
          <w:p w14:paraId="06F11332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5.5.3密度分辨率（5mm@0.3%）：≤14 mGy </w:t>
            </w:r>
          </w:p>
          <w:p w14:paraId="2946234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5.6 采集工作站配置：提供一体化多功能全身扫描SPECT/CT采集操作工作站，一体化的采集工作站可以同时采集SPECT及CT。  </w:t>
            </w:r>
          </w:p>
          <w:p w14:paraId="080E612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5.7 独立影像工作站配置：提供原厂独立影像工作站，可以同时完成SPECT及CT的后处理功能，可在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eastAsia="zh-CN"/>
              </w:rPr>
              <w:t>非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主机的房间独立工作，不与主机共享硬盘。  </w:t>
            </w:r>
          </w:p>
          <w:p w14:paraId="05459935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 SPECT/CT处理软件包  </w:t>
            </w:r>
          </w:p>
          <w:p w14:paraId="23F5A3F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 提供肺通气和灌注分析软件包  </w:t>
            </w:r>
          </w:p>
          <w:p w14:paraId="3D64D6DE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 提供甲状腺摄取分数计算工具  </w:t>
            </w:r>
          </w:p>
          <w:p w14:paraId="2823B1B3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5.8.3 提供甲状旁腺成像分析工具  </w:t>
            </w:r>
          </w:p>
          <w:p w14:paraId="078B76E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5.8.4 提供胃排空指数分析工具  </w:t>
            </w:r>
          </w:p>
          <w:p w14:paraId="373B825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5.8.5 提供食道运动分析工具  </w:t>
            </w:r>
          </w:p>
          <w:p w14:paraId="16326F9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5.8.6 提供胆囊排泄分数计算工具  </w:t>
            </w:r>
          </w:p>
          <w:p w14:paraId="3C96F0C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5.8.7 脑提供血流节段分析软件包  </w:t>
            </w:r>
          </w:p>
          <w:p w14:paraId="6DB931F4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5.8.8 提供容积断层软件包  </w:t>
            </w:r>
          </w:p>
          <w:p w14:paraId="0A0B624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5.8.9 提供SPECT中2组3向断层图像对比分析  </w:t>
            </w:r>
          </w:p>
          <w:p w14:paraId="217EFA0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5.8.10 AVI电影模式或JPEG 荧幕捕捉形式存储 提供 </w:t>
            </w:r>
          </w:p>
          <w:p w14:paraId="1A88961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5.8.11 提供直接二维多平面重建工具  </w:t>
            </w:r>
          </w:p>
          <w:p w14:paraId="5DEE1BA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5.8.12 提供直接三维重建工具  </w:t>
            </w:r>
          </w:p>
          <w:p w14:paraId="4AB0D3C6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5.8.13 提供CT 三维容积重建功能  </w:t>
            </w:r>
          </w:p>
          <w:p w14:paraId="3AA2489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5.8.14 提供智能造影剂跟踪工具 </w:t>
            </w:r>
          </w:p>
          <w:p w14:paraId="0363E25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5.8.15 提供CT内窥镜功能  </w:t>
            </w:r>
          </w:p>
          <w:p w14:paraId="181D9D7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5.8.16 提供CT骨骼内固定支架透视技术  </w:t>
            </w:r>
          </w:p>
          <w:p w14:paraId="20ED7F9D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5.8.17 提供CT骨科畸形矫正评估  </w:t>
            </w:r>
          </w:p>
          <w:p w14:paraId="5858564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5.8.18 提供CT急症创伤快速诊断工具  </w:t>
            </w:r>
          </w:p>
          <w:p w14:paraId="14FD1D86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5.8.19 提供CT肝脏三期诊断模式  </w:t>
            </w:r>
          </w:p>
          <w:p w14:paraId="184C8C6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5.8.20 提供CT彩色透视解剖图谱  </w:t>
            </w:r>
          </w:p>
          <w:p w14:paraId="1EE4983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5.8.21 提供CT肺功能评估工具  </w:t>
            </w:r>
          </w:p>
          <w:p w14:paraId="0D67359D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5.8.22 提供CT肝体积测量工具  </w:t>
            </w:r>
          </w:p>
          <w:p w14:paraId="60E14BD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5.8.23 提供CT腹腔内脂肪测量工具  </w:t>
            </w:r>
          </w:p>
          <w:p w14:paraId="729DD866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5.8.24 提供SPECT/CT三维图像显示功能  </w:t>
            </w:r>
          </w:p>
          <w:p w14:paraId="18F93FE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5.8.25 提供CT急症创伤快速诊断工具  </w:t>
            </w:r>
          </w:p>
          <w:p w14:paraId="5BD40F1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5.8.26 提供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eastAsia="uk-UA"/>
              </w:rPr>
              <w:t>心肌显像定量分析软件系统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  </w:t>
            </w:r>
          </w:p>
          <w:p w14:paraId="276F4C0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5.8.27 提供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eastAsia="uk-UA"/>
              </w:rPr>
              <w:t>心肌血流灌注分析软件包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  </w:t>
            </w:r>
          </w:p>
          <w:p w14:paraId="3128F9B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5.8.28 提供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  <w:lang w:eastAsia="uk-UA"/>
              </w:rPr>
              <w:t>心肌灌注高级相位分析软件</w:t>
            </w: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  </w:t>
            </w:r>
          </w:p>
          <w:p w14:paraId="39D782D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5.9 高级功能  </w:t>
            </w:r>
          </w:p>
          <w:p w14:paraId="7FD3D44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5.9.1 提供原厂高清骨显像技术  </w:t>
            </w:r>
          </w:p>
          <w:p w14:paraId="4D0B3D0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 5.9.2提供原厂高级心脏成像技术  </w:t>
            </w:r>
          </w:p>
          <w:p w14:paraId="63626999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5.10 提供Clarity 2D螺旋算法  </w:t>
            </w:r>
          </w:p>
          <w:p w14:paraId="32E89E0B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5.11 提供其他硬件  </w:t>
            </w:r>
          </w:p>
          <w:p w14:paraId="56B568C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5.11.1 提供头托  </w:t>
            </w:r>
          </w:p>
          <w:p w14:paraId="41ACC650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 xml:space="preserve">5.11.2 提供R波触发器  </w:t>
            </w:r>
          </w:p>
          <w:p w14:paraId="784F1536">
            <w:pPr>
              <w:spacing w:line="360" w:lineRule="auto"/>
              <w:rPr>
                <w:rFonts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 第三方附属设备</w:t>
            </w:r>
          </w:p>
          <w:p w14:paraId="1EAE625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5.12.1放射性废物桶4个；</w:t>
            </w:r>
          </w:p>
          <w:p w14:paraId="73F48E0F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5.12.2放射性废物存储箱4个；</w:t>
            </w:r>
          </w:p>
          <w:p w14:paraId="2CC1B0E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5.12.3紧急辐射泄漏处理包1个；</w:t>
            </w:r>
          </w:p>
          <w:p w14:paraId="1E98E1C1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5.12.4远距离取物夹1个；</w:t>
            </w:r>
          </w:p>
          <w:p w14:paraId="2D9166BC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5.12.5个人防护用品（含铅衣，铅帽，铅围脖，铅手套，铅眼镜）4套；</w:t>
            </w:r>
          </w:p>
          <w:p w14:paraId="0781552A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5.12.6个人剂量报警仪6个；</w:t>
            </w:r>
          </w:p>
          <w:p w14:paraId="17F5C3C7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5.12.7活度计2台；</w:t>
            </w:r>
          </w:p>
          <w:p w14:paraId="7EE9FA08">
            <w:pPr>
              <w:spacing w:line="360" w:lineRule="auto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5.12.8中文报告系统1套；</w:t>
            </w:r>
          </w:p>
          <w:p w14:paraId="115FCCC5">
            <w:pPr>
              <w:spacing w:line="360" w:lineRule="auto"/>
              <w:rPr>
                <w:rFonts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5.12.9干式激光打印机（胶片，可随中文报告系统）1台；</w:t>
            </w:r>
          </w:p>
          <w:p w14:paraId="5DD59D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5.12.10高压注射器1台。</w:t>
            </w:r>
          </w:p>
        </w:tc>
      </w:tr>
    </w:tbl>
    <w:p w14:paraId="26DB7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0921C48"/>
    <w:rsid w:val="016D740E"/>
    <w:rsid w:val="05852631"/>
    <w:rsid w:val="061F0937"/>
    <w:rsid w:val="0B51154E"/>
    <w:rsid w:val="0CDB522D"/>
    <w:rsid w:val="0F5F2145"/>
    <w:rsid w:val="108A31F2"/>
    <w:rsid w:val="13060846"/>
    <w:rsid w:val="1E33399B"/>
    <w:rsid w:val="1F2008F0"/>
    <w:rsid w:val="20D858B3"/>
    <w:rsid w:val="23D7309E"/>
    <w:rsid w:val="257C55A1"/>
    <w:rsid w:val="29564161"/>
    <w:rsid w:val="2B4D50E5"/>
    <w:rsid w:val="2E2465DC"/>
    <w:rsid w:val="2E246D3F"/>
    <w:rsid w:val="31BF5645"/>
    <w:rsid w:val="324C721E"/>
    <w:rsid w:val="32E91A2B"/>
    <w:rsid w:val="34D81B8B"/>
    <w:rsid w:val="365F01C8"/>
    <w:rsid w:val="36F21EEE"/>
    <w:rsid w:val="3A9E7716"/>
    <w:rsid w:val="3BAE69E6"/>
    <w:rsid w:val="3D45187A"/>
    <w:rsid w:val="3DD06EB3"/>
    <w:rsid w:val="412264AC"/>
    <w:rsid w:val="45BC6CA2"/>
    <w:rsid w:val="473961E5"/>
    <w:rsid w:val="48C72BD1"/>
    <w:rsid w:val="4D553BE3"/>
    <w:rsid w:val="4E7C21CC"/>
    <w:rsid w:val="514F30C0"/>
    <w:rsid w:val="55522357"/>
    <w:rsid w:val="56FF0AB4"/>
    <w:rsid w:val="57437223"/>
    <w:rsid w:val="5C5F49DD"/>
    <w:rsid w:val="5C7F75E3"/>
    <w:rsid w:val="5CCB440F"/>
    <w:rsid w:val="5D4810F0"/>
    <w:rsid w:val="5D7A2334"/>
    <w:rsid w:val="5E334DCB"/>
    <w:rsid w:val="5E671A59"/>
    <w:rsid w:val="63791869"/>
    <w:rsid w:val="64274C2C"/>
    <w:rsid w:val="67A00003"/>
    <w:rsid w:val="683146C1"/>
    <w:rsid w:val="689627C2"/>
    <w:rsid w:val="6B942C50"/>
    <w:rsid w:val="6BD97063"/>
    <w:rsid w:val="6F0C6A0E"/>
    <w:rsid w:val="70956189"/>
    <w:rsid w:val="72302549"/>
    <w:rsid w:val="762B0B7B"/>
    <w:rsid w:val="7759119D"/>
    <w:rsid w:val="77C3111B"/>
    <w:rsid w:val="77F720DB"/>
    <w:rsid w:val="7C686325"/>
    <w:rsid w:val="7D645FA3"/>
    <w:rsid w:val="7DA024D6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5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2016</Words>
  <Characters>2186</Characters>
  <Lines>0</Lines>
  <Paragraphs>0</Paragraphs>
  <TotalTime>5</TotalTime>
  <ScaleCrop>false</ScaleCrop>
  <LinksUpToDate>false</LinksUpToDate>
  <CharactersWithSpaces>2296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2026-05-22T00:19:02Z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